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年全省高校团委书记培训班的通知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省高教团工委、各高等学校团委：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为深入学习贯彻党的十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九大</w:t>
      </w:r>
      <w:r>
        <w:rPr>
          <w:rFonts w:hint="eastAsia" w:ascii="仿宋" w:hAnsi="仿宋" w:eastAsia="仿宋"/>
          <w:sz w:val="32"/>
          <w:szCs w:val="32"/>
        </w:rPr>
        <w:t>精神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习近平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新时代中国特色社会主义思想</w:t>
      </w:r>
      <w:r>
        <w:rPr>
          <w:rFonts w:hint="eastAsia" w:ascii="仿宋" w:hAnsi="仿宋" w:eastAsia="仿宋"/>
          <w:sz w:val="32"/>
          <w:szCs w:val="32"/>
        </w:rPr>
        <w:t>,贯彻落实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省第十三次团代</w:t>
      </w:r>
      <w:r>
        <w:rPr>
          <w:rFonts w:hint="eastAsia" w:ascii="仿宋" w:hAnsi="仿宋" w:eastAsia="仿宋"/>
          <w:sz w:val="32"/>
          <w:szCs w:val="32"/>
        </w:rPr>
        <w:t>会和</w:t>
      </w:r>
      <w:r>
        <w:fldChar w:fldCharType="begin"/>
      </w:r>
      <w:r>
        <w:instrText xml:space="preserve"> HYPERLINK "http://qnzz.youth.cn/gzdt/201403/t20140303_4804620.htm"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全国学校共青团网络视频工作</w:t>
      </w:r>
      <w:r>
        <w:rPr>
          <w:rFonts w:ascii="仿宋" w:hAnsi="仿宋" w:eastAsia="仿宋"/>
          <w:sz w:val="32"/>
          <w:szCs w:val="32"/>
        </w:rPr>
        <w:t>会议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精神,促进全省学校共青团进一步统一思想、明确任务、推动工作，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团省委决定举办201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年全省高校团委书记培训班，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2017年3月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日-3月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日（周日）报到，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）返程。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全省各高校团委书记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南京师范大学仙林校区（南京市栖霞区文苑路一号）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1.党的十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九大</w:t>
      </w:r>
      <w:r>
        <w:rPr>
          <w:rFonts w:hint="eastAsia" w:ascii="仿宋" w:hAnsi="仿宋" w:eastAsia="仿宋"/>
          <w:sz w:val="32"/>
          <w:szCs w:val="32"/>
        </w:rPr>
        <w:t>精神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习近平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新时代中国特色社会主义思想</w:t>
      </w:r>
      <w:r>
        <w:rPr>
          <w:rFonts w:hint="eastAsia" w:ascii="仿宋" w:hAnsi="仿宋" w:eastAsia="仿宋"/>
          <w:sz w:val="32"/>
          <w:szCs w:val="32"/>
        </w:rPr>
        <w:t>专题辅导；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.传达学习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省第十三次团代</w:t>
      </w:r>
      <w:r>
        <w:rPr>
          <w:rFonts w:hint="eastAsia" w:ascii="仿宋" w:hAnsi="仿宋" w:eastAsia="仿宋"/>
          <w:sz w:val="32"/>
          <w:szCs w:val="32"/>
        </w:rPr>
        <w:t>会和</w:t>
      </w:r>
      <w:r>
        <w:fldChar w:fldCharType="begin"/>
      </w:r>
      <w:r>
        <w:instrText xml:space="preserve"> HYPERLINK "http://qnzz.youth.cn/gzdt/201403/t20140303_4804620.htm"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全国学校共青团网络视频工作</w:t>
      </w:r>
      <w:r>
        <w:rPr>
          <w:rFonts w:ascii="仿宋" w:hAnsi="仿宋" w:eastAsia="仿宋"/>
          <w:sz w:val="32"/>
          <w:szCs w:val="32"/>
        </w:rPr>
        <w:t>会议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精神，解读《201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年学校共青团工作要点》；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3.交流学习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江苏省</w:t>
      </w:r>
      <w:r>
        <w:rPr>
          <w:rFonts w:hint="eastAsia" w:ascii="仿宋" w:hAnsi="仿宋" w:eastAsia="仿宋"/>
          <w:sz w:val="32"/>
          <w:szCs w:val="32"/>
        </w:rPr>
        <w:t>学校共青团改革有关举措；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分</w:t>
      </w:r>
      <w:r>
        <w:rPr>
          <w:rFonts w:hint="eastAsia" w:ascii="仿宋" w:hAnsi="仿宋" w:eastAsia="仿宋"/>
          <w:sz w:val="32"/>
          <w:szCs w:val="32"/>
        </w:rPr>
        <w:t>组讨论；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围绕提纲：高校共青团改革、新形势下高校共青团思想政治引领、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第二课堂成绩单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制度推行、大学生</w:t>
      </w:r>
      <w:r>
        <w:rPr>
          <w:rFonts w:hint="eastAsia" w:ascii="仿宋" w:hAnsi="仿宋" w:eastAsia="仿宋"/>
          <w:sz w:val="32"/>
          <w:szCs w:val="32"/>
        </w:rPr>
        <w:t>社会实践与志愿服务、促进大学生创新创业、高校共青团网络新媒体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学联学生会改革及学生</w:t>
      </w:r>
      <w:r>
        <w:rPr>
          <w:rFonts w:hint="eastAsia" w:ascii="仿宋" w:hAnsi="仿宋" w:eastAsia="仿宋"/>
          <w:sz w:val="32"/>
          <w:szCs w:val="32"/>
        </w:rPr>
        <w:t>社团指导与管理等。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培训对象为全省各高校团委书记（含主持工作的副书记），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请所有参加培训人员于3月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日18:00前报到,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报到地址为南京师范大学仙林校区仙林宾馆（025-85845888）。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培训原则上不得请假，如有特殊情况，请书面向团省委学校部说明。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日下午18:00点前将回执发至团省委学校部邮箱。此次培训费用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含餐费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由团省委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，往返交通费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和住宿费（住宿统一安排）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由所在单位承担。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六、联系人及方式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联系人: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苏  磊 13991133222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袁龙刚 18392455166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  箱：</w:t>
      </w:r>
      <w:r>
        <w:fldChar w:fldCharType="begin"/>
      </w:r>
      <w:r>
        <w:instrText xml:space="preserve"> HYPERLINK "mailto:gqtxxb@sina.com" </w:instrText>
      </w:r>
      <w:r>
        <w:fldChar w:fldCharType="separate"/>
      </w:r>
      <w:r>
        <w:rPr>
          <w:rFonts w:eastAsia="仿宋_GB2312"/>
          <w:color w:val="000000"/>
          <w:sz w:val="32"/>
          <w:szCs w:val="32"/>
        </w:rPr>
        <w:t>gqtxxb@sina.com</w:t>
      </w:r>
      <w:r>
        <w:rPr>
          <w:rFonts w:eastAsia="仿宋_GB2312"/>
          <w:color w:val="000000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附件：全省高校团委书记培训班参会回执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共青团陕西省委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全省高校团委书记培训班参会回执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3"/>
        <w:tblW w:w="13977" w:type="dxa"/>
        <w:jc w:val="center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946"/>
        <w:gridCol w:w="1039"/>
        <w:gridCol w:w="3326"/>
        <w:gridCol w:w="2706"/>
        <w:gridCol w:w="2922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手机</w:t>
            </w: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31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94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32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07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注：备注内可写其他要求，例如清真餐等。</w:t>
      </w: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79DB"/>
    <w:multiLevelType w:val="singleLevel"/>
    <w:tmpl w:val="550B79DB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190E"/>
    <w:rsid w:val="0013613B"/>
    <w:rsid w:val="0028441D"/>
    <w:rsid w:val="02807D5F"/>
    <w:rsid w:val="10FB28FB"/>
    <w:rsid w:val="1959194A"/>
    <w:rsid w:val="21701C63"/>
    <w:rsid w:val="27A51C2A"/>
    <w:rsid w:val="28E02DB0"/>
    <w:rsid w:val="2E507A8B"/>
    <w:rsid w:val="32C962CC"/>
    <w:rsid w:val="3BD6190E"/>
    <w:rsid w:val="3ED87AC8"/>
    <w:rsid w:val="439F460F"/>
    <w:rsid w:val="53442153"/>
    <w:rsid w:val="59A118FA"/>
    <w:rsid w:val="5FB1631D"/>
    <w:rsid w:val="6EA8743A"/>
    <w:rsid w:val="6F7C01FE"/>
    <w:rsid w:val="724F6BC0"/>
    <w:rsid w:val="73CC0E20"/>
    <w:rsid w:val="76D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5</Pages>
  <Words>182</Words>
  <Characters>1042</Characters>
  <Lines>8</Lines>
  <Paragraphs>2</Paragraphs>
  <ScaleCrop>false</ScaleCrop>
  <LinksUpToDate>false</LinksUpToDate>
  <CharactersWithSpaces>1222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2017-03-02T06:45:00Z</dcterms:created>
  <dc:creator>3040</dc:creator>
  <cp:lastModifiedBy>●﹎花、真美</cp:lastModifiedBy>
  <cp:lastPrinted>2018-03-09T08:10:00Z</cp:lastPrinted>
  <dcterms:modified xsi:type="dcterms:W3CDTF">2018-03-16T06:14:40Z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